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4" w:rsidRDefault="001E27D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Šiaulių r. Raudėnų mokykla-daugiafunkcis centras</w:t>
      </w:r>
    </w:p>
    <w:p w:rsidR="005B56D4" w:rsidRDefault="001E27D3">
      <w:pPr>
        <w:jc w:val="center"/>
        <w:rPr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Veiklos kokybės įsivertinimo 2017 -2018 m. m. ataskaita</w:t>
      </w:r>
    </w:p>
    <w:p w:rsidR="005B56D4" w:rsidRDefault="001E27D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Sritis: 3 Ugdymo(si) aplinkos</w:t>
      </w:r>
    </w:p>
    <w:tbl>
      <w:tblPr>
        <w:tblStyle w:val="Lentelstinklelis"/>
        <w:tblW w:w="1357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383"/>
        <w:gridCol w:w="2126"/>
        <w:gridCol w:w="1132"/>
        <w:gridCol w:w="993"/>
        <w:gridCol w:w="1002"/>
        <w:gridCol w:w="3399"/>
        <w:gridCol w:w="3540"/>
      </w:tblGrid>
      <w:tr w:rsidR="005B56D4"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Rodiklis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Įsivertinimo instrumentas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Lygmuo</w:t>
            </w:r>
          </w:p>
        </w:tc>
        <w:tc>
          <w:tcPr>
            <w:tcW w:w="3399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Privalumai</w:t>
            </w:r>
          </w:p>
        </w:tc>
        <w:tc>
          <w:tcPr>
            <w:tcW w:w="3540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Trūkumai</w:t>
            </w:r>
          </w:p>
        </w:tc>
      </w:tr>
      <w:tr w:rsidR="005B56D4">
        <w:tc>
          <w:tcPr>
            <w:tcW w:w="1383" w:type="dxa"/>
            <w:vMerge/>
            <w:shd w:val="clear" w:color="auto" w:fill="auto"/>
            <w:tcMar>
              <w:left w:w="93" w:type="dxa"/>
            </w:tcMar>
          </w:tcPr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3" w:type="dxa"/>
            </w:tcMar>
          </w:tcPr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mokytojai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tėvai</w:t>
            </w:r>
          </w:p>
        </w:tc>
        <w:tc>
          <w:tcPr>
            <w:tcW w:w="1002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mokiniai</w:t>
            </w:r>
          </w:p>
        </w:tc>
        <w:tc>
          <w:tcPr>
            <w:tcW w:w="3399" w:type="dxa"/>
            <w:vMerge/>
            <w:shd w:val="clear" w:color="auto" w:fill="auto"/>
            <w:tcMar>
              <w:left w:w="93" w:type="dxa"/>
            </w:tcMar>
          </w:tcPr>
          <w:p w:rsidR="005B56D4" w:rsidRDefault="005B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  <w:shd w:val="clear" w:color="auto" w:fill="auto"/>
            <w:tcMar>
              <w:left w:w="93" w:type="dxa"/>
            </w:tcMar>
          </w:tcPr>
          <w:p w:rsidR="005B56D4" w:rsidRDefault="005B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6D4">
        <w:tc>
          <w:tcPr>
            <w:tcW w:w="1383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3.1.1. Įranga ir priemonės</w:t>
            </w:r>
          </w:p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anketavimas – mokiniai, mokytojai, tėvai </w:t>
            </w:r>
            <w:hyperlink r:id="rId4">
              <w:r>
                <w:rPr>
                  <w:rStyle w:val="Internetosaitas"/>
                  <w:rFonts w:ascii="Times New Roman" w:hAnsi="Times New Roman" w:cs="Times New Roman"/>
                  <w:sz w:val="24"/>
                  <w:szCs w:val="24"/>
                </w:rPr>
                <w:t>www.iqesonline.lt</w:t>
              </w:r>
            </w:hyperlink>
          </w:p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2,8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3,5</w:t>
            </w:r>
          </w:p>
        </w:tc>
        <w:tc>
          <w:tcPr>
            <w:tcW w:w="1002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</w:t>
            </w:r>
          </w:p>
        </w:tc>
        <w:tc>
          <w:tcPr>
            <w:tcW w:w="3399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rPr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Visos trys respondentų grupės vertina trečiu ar aukštesniu lygiu mokykloje esančias mokymo priemones ir jų kiekį. Visi atsakiusieji  </w:t>
            </w:r>
            <w:r>
              <w:rPr>
                <w:rFonts w:ascii="Times New Roman" w:hAnsi="Times New Roman" w:cs="Times New Roman"/>
                <w:lang w:val="lt-LT"/>
              </w:rPr>
              <w:t>pritaria, kad mokyklos įranga ir priemonės įrengtos kaip skatinanti mokymąsi aplinka, jos tikslingai panaudojamos ugdymo(si) tikslams pasiekti (trečias lygmuo).</w:t>
            </w:r>
          </w:p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39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Mokytojai ir mokiniai atsakė, kad tik kartais kuria mokymo priemones kartu (antras lygmuo). </w:t>
            </w:r>
          </w:p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56D4">
        <w:tc>
          <w:tcPr>
            <w:tcW w:w="1383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3.1.2. Pastatas ir jo aplinka</w:t>
            </w:r>
          </w:p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anketavimas – mokiniai, mokytojai, tėvai </w:t>
            </w:r>
            <w:hyperlink r:id="rId5">
              <w:r>
                <w:rPr>
                  <w:rStyle w:val="Internetosaitas"/>
                  <w:rFonts w:ascii="Times New Roman" w:hAnsi="Times New Roman" w:cs="Times New Roman"/>
                  <w:sz w:val="24"/>
                  <w:szCs w:val="24"/>
                </w:rPr>
                <w:t>www.iqesonline.lt</w:t>
              </w:r>
            </w:hyperlink>
          </w:p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3,4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3,5</w:t>
            </w:r>
          </w:p>
        </w:tc>
        <w:tc>
          <w:tcPr>
            <w:tcW w:w="1002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2,8</w:t>
            </w:r>
          </w:p>
        </w:tc>
        <w:tc>
          <w:tcPr>
            <w:tcW w:w="3399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rPr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Visos trys respondentų grupės vertino trečiu lygiu mokyklos interjerą, pritarė, kad jis kuria gerą nuotaiką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padeda susikaupti. Visi atsakiusieji pakankamai aukštai vertino mokyklos interjero estetiškumą (trečias lygis mokiniai, ketvirtas – tėvai ir mokytojai).</w:t>
            </w:r>
          </w:p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39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rPr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labai skirtingai atsakinėjo į klausimą ar įvairių paskirčių erdvės padeda susikaupti, ska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tina mokymą ir mokymąsi, improvizavimą ir kūrybą. 35% mokinių atsakė, kad dažnai, ir tiek pat galvoja, kad tai vyksta retai. Mokytojai galvoja, kad esamos mokyklos erdvės ne visada lengvai pritaikomos skirtingiems ugdymo(si) poreikiams.</w:t>
            </w:r>
          </w:p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56D4">
        <w:tc>
          <w:tcPr>
            <w:tcW w:w="1383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pStyle w:val="prastasistinklapis1"/>
              <w:shd w:val="clear" w:color="auto" w:fill="FFFFFF"/>
              <w:spacing w:beforeAutospacing="0" w:after="0" w:afterAutospacing="0"/>
              <w:rPr>
                <w:bCs/>
              </w:rPr>
            </w:pPr>
            <w:r>
              <w:rPr>
                <w:rFonts w:eastAsiaTheme="minorEastAsia"/>
                <w:bCs/>
                <w:lang w:val="en-US"/>
              </w:rPr>
              <w:t xml:space="preserve">3.1.3. Aplinkų </w:t>
            </w:r>
            <w:r>
              <w:rPr>
                <w:rFonts w:eastAsiaTheme="minorEastAsia"/>
                <w:bCs/>
                <w:lang w:val="en-US"/>
              </w:rPr>
              <w:t>bendrakūra</w:t>
            </w:r>
          </w:p>
          <w:p w:rsidR="005B56D4" w:rsidRDefault="005B56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anketavimas – mokiniai, mokytojai, tėvai </w:t>
            </w:r>
            <w:hyperlink r:id="rId6">
              <w:r>
                <w:rPr>
                  <w:rStyle w:val="Internetosaitas"/>
                  <w:rFonts w:ascii="Times New Roman" w:hAnsi="Times New Roman" w:cs="Times New Roman"/>
                  <w:sz w:val="24"/>
                  <w:szCs w:val="24"/>
                </w:rPr>
                <w:t>www.iqesonline.lt</w:t>
              </w:r>
            </w:hyperlink>
          </w:p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2,5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1002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2,9</w:t>
            </w:r>
          </w:p>
        </w:tc>
        <w:tc>
          <w:tcPr>
            <w:tcW w:w="3399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Visų trijų grupių respondentai sutinka, kad pakankamai dažnai mokykla dekoruojama mokinių darbais, rengiamos parodų </w:t>
            </w:r>
            <w:r>
              <w:rPr>
                <w:rFonts w:ascii="Times New Roman" w:hAnsi="Times New Roman" w:cs="Times New Roman"/>
                <w:lang w:val="lt-LT"/>
              </w:rPr>
              <w:lastRenderedPageBreak/>
              <w:t>ekspozicijos.</w:t>
            </w:r>
            <w:r>
              <w:rPr>
                <w:rFonts w:ascii="Times New Roman" w:hAnsi="Times New Roman" w:cs="Times New Roman"/>
                <w:lang w:val="lt-LT"/>
              </w:rPr>
              <w:t xml:space="preserve"> Tėvai ir mokiniai atsakė, kad mokiniai yra pakankamai dažnai įtraukiami į klasės ir bendrų mokyklos erdvių dizainą, apipavidalinimą. Mokiniai  mano, kad jie dažnai vertina, domisi, saugo savo ir kitų darbus, mokosi iš jų.</w:t>
            </w:r>
          </w:p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39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Mokytojų manymu, jie retai  įtra</w:t>
            </w:r>
            <w:r>
              <w:rPr>
                <w:rFonts w:ascii="Times New Roman" w:hAnsi="Times New Roman" w:cs="Times New Roman"/>
                <w:lang w:val="lt-LT"/>
              </w:rPr>
              <w:t xml:space="preserve">ukia mokinius į klasės ir bendrų mokyklos erdvių dizainą, apipavidalinimą. </w:t>
            </w:r>
          </w:p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56D4">
        <w:tc>
          <w:tcPr>
            <w:tcW w:w="1383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 xml:space="preserve">3.2.1.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Mokymasis ne mokykloje</w:t>
            </w:r>
          </w:p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anketavimas – mokiniai, tėvai </w:t>
            </w:r>
            <w:hyperlink r:id="rId7">
              <w:r>
                <w:rPr>
                  <w:rStyle w:val="Internetosaitas"/>
                  <w:rFonts w:ascii="Times New Roman" w:hAnsi="Times New Roman" w:cs="Times New Roman"/>
                  <w:sz w:val="24"/>
                  <w:szCs w:val="24"/>
                </w:rPr>
                <w:t>www.iqesonline.lt</w:t>
              </w:r>
            </w:hyperlink>
            <w:r>
              <w:rPr>
                <w:rFonts w:ascii="Times New Roman" w:hAnsi="Times New Roman" w:cs="Times New Roman"/>
              </w:rPr>
              <w:t xml:space="preserve">, dokumentų analizė – mokytojai </w:t>
            </w:r>
          </w:p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  <w:color w:val="FF3333"/>
              </w:rPr>
            </w:pPr>
          </w:p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2,7</w:t>
            </w:r>
          </w:p>
        </w:tc>
        <w:tc>
          <w:tcPr>
            <w:tcW w:w="1002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2,7</w:t>
            </w:r>
          </w:p>
        </w:tc>
        <w:tc>
          <w:tcPr>
            <w:tcW w:w="3399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Tėvų nuomone, išvykos ir ekskursijos vyksta dažnai, jie dažnai su savo vaiku jas aptaria, iš mokytojų jie dažnai gauna informaciją, kokia veikla bus vykdoma išvykų metu. </w:t>
            </w:r>
          </w:p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39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Atlikus dokumentacijos  analizę paaiškėjo, kad išvykos bei pamokos netradicinėse </w:t>
            </w:r>
            <w:r>
              <w:rPr>
                <w:rFonts w:ascii="Times New Roman" w:hAnsi="Times New Roman" w:cs="Times New Roman"/>
                <w:lang w:val="lt-LT"/>
              </w:rPr>
              <w:t>erdvėse vyksta ne dažniau kaip kartą per mėnesi ir tai atitinka antrą lygį. Mokiniai taip pat galvoja, kad jie išvykose dalyvauja tik kartais. Kartais yra vykdomi aptarimai po edukacinių išvykų.</w:t>
            </w:r>
          </w:p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56D4">
        <w:tc>
          <w:tcPr>
            <w:tcW w:w="1383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3.2.2. Mokymasis virtualioje aplinkoje</w:t>
            </w:r>
          </w:p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anketavimas – mokin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iai, mokytojai </w:t>
            </w:r>
            <w:hyperlink r:id="rId8">
              <w:r>
                <w:rPr>
                  <w:rStyle w:val="Internetosaitas"/>
                  <w:rFonts w:ascii="Times New Roman" w:hAnsi="Times New Roman" w:cs="Times New Roman"/>
                  <w:sz w:val="24"/>
                  <w:szCs w:val="24"/>
                </w:rPr>
                <w:t>www.iqesonline.lt</w:t>
              </w:r>
            </w:hyperlink>
          </w:p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3,5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5B56D4" w:rsidRDefault="005B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3399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lt-LT"/>
              </w:rPr>
              <w:t xml:space="preserve">Ir mokytojai, ir mokiniai kompiuteriu mokykloje naudojasi ugdymo(si) tikslais (mokiniai – 76% , mokytojai – 100%). Pamokos metu mokytojai dažnai ir labai dažnai naudoja </w:t>
            </w:r>
            <w:r>
              <w:rPr>
                <w:rFonts w:ascii="Times New Roman" w:hAnsi="Times New Roman" w:cs="Times New Roman"/>
                <w:lang w:val="lt-LT"/>
              </w:rPr>
              <w:t>kompiuterį  informacijai pateikti.</w:t>
            </w:r>
          </w:p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39" w:type="dxa"/>
            <w:shd w:val="clear" w:color="auto" w:fill="auto"/>
            <w:tcMar>
              <w:left w:w="9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76% mokinių patys kompiuteriu naudojasi pamokų metu tik kartais.</w:t>
            </w:r>
          </w:p>
          <w:p w:rsidR="005B56D4" w:rsidRDefault="005B56D4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5B56D4" w:rsidRDefault="005B56D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B56D4" w:rsidRDefault="005B56D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B56D4" w:rsidRDefault="005B56D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B56D4" w:rsidRDefault="005B56D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B56D4" w:rsidRDefault="005B56D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B56D4" w:rsidRDefault="005B56D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B56D4" w:rsidRDefault="001E27D3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Šiaulių r. Raudėnų</w:t>
      </w:r>
      <w:bookmarkStart w:id="1" w:name="_GoBack1"/>
      <w:bookmarkEnd w:id="1"/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mokykla-daugiafunkcis centras</w:t>
      </w:r>
    </w:p>
    <w:p w:rsidR="005B56D4" w:rsidRDefault="001E27D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Rekomendacijos pasirinktos srities tobulinimui</w:t>
      </w:r>
    </w:p>
    <w:p w:rsidR="005B56D4" w:rsidRDefault="005B56D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314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5"/>
        <w:gridCol w:w="3826"/>
        <w:gridCol w:w="2128"/>
        <w:gridCol w:w="2550"/>
      </w:tblGrid>
      <w:tr w:rsidR="005B56D4">
        <w:tc>
          <w:tcPr>
            <w:tcW w:w="13148" w:type="dxa"/>
            <w:gridSpan w:val="4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Rodiklis: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3.2.1. Mokymasis ne mokykloje</w:t>
            </w:r>
          </w:p>
        </w:tc>
      </w:tr>
      <w:tr w:rsidR="005B56D4">
        <w:tc>
          <w:tcPr>
            <w:tcW w:w="13148" w:type="dxa"/>
            <w:gridSpan w:val="4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Tikslas: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Organizuojant mokymąsi ne mokykloje plėtoti realiu pasaulio pažinimu pagrįstą ugdymą(si)    </w:t>
            </w:r>
          </w:p>
        </w:tc>
      </w:tr>
      <w:tr w:rsidR="005B56D4">
        <w:tc>
          <w:tcPr>
            <w:tcW w:w="13148" w:type="dxa"/>
            <w:gridSpan w:val="4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1.1.Uždavinys: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Atsižvelgiant į mokyklos veiklos kokybės įsivertinimo rezultatus  koreguoti mokyklos strateginį planą, rengti  metinį veiklos bei ugdymo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lanus, siekti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kryptingo ir reguliaraus mokyklos erdvių ir kaimo teritorijos naudojimo ugdymui</w:t>
            </w:r>
          </w:p>
        </w:tc>
      </w:tr>
      <w:tr w:rsidR="005B56D4">
        <w:tc>
          <w:tcPr>
            <w:tcW w:w="4644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Rezultatai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Pasiekimo laikas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Atsakingi/kiti dalyviai</w:t>
            </w:r>
          </w:p>
        </w:tc>
      </w:tr>
      <w:tr w:rsidR="005B56D4">
        <w:tc>
          <w:tcPr>
            <w:tcW w:w="4644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Planuojant ugdymo turinį mokyklos  edukacinių erdvių panaudojimo ir edukacinių išvykų planavimą fiksuoti mokytojų ilgalaikiuose planuose, neformaliojo švietimo programose.  </w:t>
            </w:r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Planingai organizuojamos ugdymo veiklos netradicinėse erdvėse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</w:t>
            </w:r>
          </w:p>
        </w:tc>
      </w:tr>
      <w:tr w:rsidR="005B56D4">
        <w:tc>
          <w:tcPr>
            <w:tcW w:w="4644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rganizuoti 2 seminarus ir 2 diskusijas  su kaimo institucijų atstovais dėl edukacinių erdvių kūrimo, jų panaudojimo galimybių.</w:t>
            </w:r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Mokytojai patobulins profesinę kompetenciją, bus bendradarbiaujama su kaimo įstaigų darbuotojais</w:t>
            </w:r>
          </w:p>
          <w:p w:rsidR="005B56D4" w:rsidRDefault="005B5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</w:t>
            </w:r>
          </w:p>
          <w:p w:rsidR="005B56D4" w:rsidRDefault="001E2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sausio–kovo mėn.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Direktorius</w:t>
            </w:r>
          </w:p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Metodinė taryba</w:t>
            </w:r>
          </w:p>
        </w:tc>
      </w:tr>
      <w:tr w:rsidR="005B56D4">
        <w:tc>
          <w:tcPr>
            <w:tcW w:w="4644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Parengti ir įgyvendinti integruoto mokymo projektą “Saulės motyvas žmogaus ir gamtos būtyje”, skatinant veiklas organizuoti netradicinėse erdvėse, vykdyti stebėjimus, bandymus ir t.t.</w:t>
            </w:r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Organizuojamas įtraukiantis, socializuojant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is, kūrybiškas ugdymas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</w:t>
            </w:r>
          </w:p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sausio–kovo mėn.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 Mokytojai</w:t>
            </w:r>
          </w:p>
        </w:tc>
      </w:tr>
      <w:tr w:rsidR="005B56D4">
        <w:tc>
          <w:tcPr>
            <w:tcW w:w="4644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mokytojams pagal atskirą grafiką ne mažiau kaip vieną pamoką per mėnesį vesti už mokyklos sienų išnaudojant netradicines mokyklos ir kaimo erdves.</w:t>
            </w:r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Ugdomoji veikla glaudžiau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siesis su praktiniu gyvenimu, pamokos taps įdomesnės, įtraukiančios į veiklas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2017–2018 m. m..</w:t>
            </w:r>
          </w:p>
          <w:p w:rsidR="005B56D4" w:rsidRDefault="001E2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2018–2019 m. m.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 Mokytojai</w:t>
            </w:r>
          </w:p>
        </w:tc>
      </w:tr>
      <w:tr w:rsidR="005B56D4">
        <w:tc>
          <w:tcPr>
            <w:tcW w:w="13148" w:type="dxa"/>
            <w:gridSpan w:val="4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1.2.Uždavinys: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Siekti prasmingos ugdymo turinio programų integracijos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plėtojant mokymosi  be sienų (edukacinių išvykų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ir mokymo virtualioje aplinkoje) galimybes</w:t>
            </w:r>
          </w:p>
        </w:tc>
      </w:tr>
      <w:tr w:rsidR="005B56D4">
        <w:tc>
          <w:tcPr>
            <w:tcW w:w="4644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Rezultatai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Pasiekimo laikas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Atsakingi/kiti dalyviai</w:t>
            </w:r>
          </w:p>
        </w:tc>
      </w:tr>
      <w:tr w:rsidR="005B56D4">
        <w:tc>
          <w:tcPr>
            <w:tcW w:w="4644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   Dalyvauti respublikiniame projekte “Neformaliojo vaikų švietimo paslaugų plėtra” (koordinatoriai – Lietuvos mokinių neformaliojo švietimo centras,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Europos Sąjungos lėšos)</w:t>
            </w:r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Sėkmingai organizuojamas ugdymo procesas, kūrybiškos ir šiuolaikiškos pamokos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2018-02–2019-02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Direktorius</w:t>
            </w:r>
          </w:p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Metodinė taryba</w:t>
            </w:r>
          </w:p>
        </w:tc>
      </w:tr>
      <w:tr w:rsidR="005B56D4">
        <w:tc>
          <w:tcPr>
            <w:tcW w:w="4644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Parengti ir įgyvendinti edukacinių išvykų ir pažintinių dienų planą 1–10 klasių mokiniams “Mokykla be sienų”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Bus planingai organizuojamos edukacinės išvykos ir pažintinės dienos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gruodžio mėn.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5B56D4" w:rsidRDefault="001E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</w:t>
            </w:r>
          </w:p>
        </w:tc>
      </w:tr>
    </w:tbl>
    <w:p w:rsidR="005B56D4" w:rsidRDefault="005B56D4"/>
    <w:sectPr w:rsidR="005B56D4">
      <w:pgSz w:w="16838" w:h="11906" w:orient="landscape"/>
      <w:pgMar w:top="1701" w:right="1701" w:bottom="567" w:left="1134" w:header="0" w:footer="0" w:gutter="0"/>
      <w:cols w:space="1296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D4"/>
    <w:rsid w:val="001E27D3"/>
    <w:rsid w:val="005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9287D-E0D5-4847-A6B6-00B9B1A4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4D7B"/>
    <w:pPr>
      <w:spacing w:after="200" w:line="276" w:lineRule="auto"/>
    </w:pPr>
    <w:rPr>
      <w:rFonts w:ascii="Calibri" w:eastAsiaTheme="minorEastAsia" w:hAnsi="Calibri"/>
      <w:color w:val="00000A"/>
      <w:sz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uiPriority w:val="99"/>
    <w:rsid w:val="00112E0C"/>
    <w:rPr>
      <w:color w:val="0000FF"/>
      <w:u w:val="single"/>
    </w:rPr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customStyle="1" w:styleId="prastasistinklapis1">
    <w:name w:val="Įprastasis (tinklapis)1"/>
    <w:basedOn w:val="prastasis"/>
    <w:uiPriority w:val="99"/>
    <w:semiHidden/>
    <w:qFormat/>
    <w:locked/>
    <w:rsid w:val="00112E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59"/>
    <w:rsid w:val="00004D7B"/>
    <w:pPr>
      <w:spacing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esonline.l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qesonline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qesonline.lt/" TargetMode="External"/><Relationship Id="rId5" Type="http://schemas.openxmlformats.org/officeDocument/2006/relationships/hyperlink" Target="http://www.iqesonline.l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qesonline.l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3574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dcterms:created xsi:type="dcterms:W3CDTF">2017-11-02T06:17:00Z</dcterms:created>
  <dcterms:modified xsi:type="dcterms:W3CDTF">2017-11-02T06:17:00Z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